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辽宁省畜牧业协会货币资金管理制度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黑体" w:hAnsi="黑体" w:eastAsia="黑体" w:cs="黑体"/>
          <w:bCs/>
          <w:kern w:val="0"/>
          <w:szCs w:val="32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ascii="仿宋_GB2312" w:hAnsi="仿宋" w:cs="宋体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第一章 总则</w:t>
      </w:r>
    </w:p>
    <w:p>
      <w:pPr>
        <w:spacing w:line="560" w:lineRule="exact"/>
        <w:rPr>
          <w:rFonts w:ascii="仿宋_GB2312" w:hAnsi="仿宋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　　第一条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 xml:space="preserve"> 为了加强对货币资金的内部控制和管理，保证货币资金的安全，根据《中华人民共和国会计法》《</w:t>
      </w:r>
      <w:r>
        <w:rPr>
          <w:rFonts w:hint="eastAsia" w:ascii="仿宋_GB2312" w:hAnsi="仿宋"/>
          <w:bCs/>
          <w:kern w:val="0"/>
          <w:szCs w:val="32"/>
          <w:shd w:val="clear" w:color="auto" w:fill="FFFFFF"/>
        </w:rPr>
        <w:t>会计基础工作规范》、</w:t>
      </w:r>
      <w:r>
        <w:rPr>
          <w:rFonts w:ascii="仿宋_GB2312" w:hAnsi="仿宋"/>
          <w:bCs/>
          <w:kern w:val="0"/>
          <w:szCs w:val="32"/>
          <w:shd w:val="clear" w:color="auto" w:fill="FFFFFF"/>
        </w:rPr>
        <w:t>《人民币银行结算账户管理办法》</w:t>
      </w:r>
      <w:r>
        <w:rPr>
          <w:rFonts w:hint="eastAsia" w:ascii="仿宋_GB2312" w:hAnsi="仿宋"/>
          <w:bCs/>
          <w:kern w:val="0"/>
          <w:szCs w:val="32"/>
          <w:shd w:val="clear" w:color="auto" w:fill="FFFFFF"/>
        </w:rPr>
        <w:t>、《</w:t>
      </w:r>
      <w:r>
        <w:rPr>
          <w:rFonts w:ascii="仿宋_GB2312" w:hAnsi="仿宋"/>
          <w:kern w:val="0"/>
          <w:szCs w:val="32"/>
          <w:shd w:val="clear" w:color="auto" w:fill="FFFFFF"/>
        </w:rPr>
        <w:t>现金管理暂行条例</w:t>
      </w:r>
      <w:r>
        <w:rPr>
          <w:rFonts w:hint="eastAsia" w:ascii="仿宋_GB2312" w:hAnsi="仿宋"/>
          <w:bCs/>
          <w:kern w:val="0"/>
          <w:szCs w:val="32"/>
          <w:shd w:val="clear" w:color="auto" w:fill="FFFFFF"/>
        </w:rPr>
        <w:t>》</w:t>
      </w:r>
      <w:r>
        <w:rPr>
          <w:rFonts w:hint="eastAsia" w:ascii="仿宋_GB2312" w:hAnsi="宋体" w:cs="Consolas"/>
          <w:kern w:val="0"/>
          <w:szCs w:val="32"/>
        </w:rPr>
        <w:t>及有关规定,</w:t>
      </w:r>
      <w:r>
        <w:rPr>
          <w:rFonts w:hint="eastAsia" w:ascii="仿宋_GB2312" w:hAnsi="仿宋"/>
          <w:bCs/>
          <w:kern w:val="0"/>
          <w:szCs w:val="32"/>
          <w:shd w:val="clear" w:color="auto" w:fill="FFFFFF"/>
        </w:rPr>
        <w:t>结合本会实际情况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，制定本制度。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 xml:space="preserve">第二条 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货币资金是指存在于货币形态的资金，包括现金、银行存款和其他货币资金。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 xml:space="preserve">第三条 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财务部应做好资金的管理，保护货币资金的安全与完整；合理安排资金流，严格执行资金支付与报销的授权审批流程。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center"/>
        <w:rPr>
          <w:rFonts w:ascii="仿宋_GB2312" w:cs="Calibri"/>
          <w:b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第二章 岗位职责与审批流程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第四条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 xml:space="preserve"> 本会建立货币资金业务岗位责任制，明确相关部门和岗位的职责权限，确保办理货币资金业务的不相容岗位相互分离、制约和监督。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 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出纳人员不得兼任稽核、会计档案保管和收入、支出、费用、债权债务账目的登记工作。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办理资金收付业务，应当遵守现金和银行存款管理的有关规定，不得由一人办理货币资金全过程业务，严禁将办理资金支付业务的相关印章和票据集中一人保管。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第五条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 xml:space="preserve"> 本会对货币资金业务建立严格的审批制度，明确审批人对货币资金业务的授权批准方式、权限、程序、责任和相关控制措施，规定经办人办理货币资金业务的职责范围和工作要求。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 </w:t>
      </w: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第六条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 xml:space="preserve"> 审批人应当根据货币资金管理制度的规定，在授权范围内进行审批，不得超越审批权限。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 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出纳人员应当在职责范围内，按照审批人的批准意见办理货币资金业务。对于审批人超越授权范围审批的货币资金业务，出纳人员有权拒绝办理，并及时向审批人的上级授权部门报告。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仿宋" w:cs="宋体"/>
          <w:kern w:val="0"/>
          <w:szCs w:val="32"/>
          <w:shd w:val="clear" w:color="auto" w:fill="FFFFFF"/>
        </w:rPr>
      </w:pP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本会货币资金支付审批程序如下：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/>
          <w:szCs w:val="32"/>
          <w:u w:val="none"/>
        </w:rPr>
      </w:pPr>
      <w:r>
        <w:rPr>
          <w:rFonts w:hint="eastAsia" w:ascii="仿宋_GB2312"/>
          <w:szCs w:val="32"/>
          <w:u w:val="none"/>
        </w:rPr>
        <w:t>（</w:t>
      </w:r>
      <w:r>
        <w:rPr>
          <w:rFonts w:hint="eastAsia" w:ascii="仿宋_GB2312" w:hAnsi="仿宋" w:cs="宋体"/>
          <w:kern w:val="0"/>
          <w:szCs w:val="32"/>
          <w:u w:val="none"/>
          <w:shd w:val="clear" w:color="auto" w:fill="FFFFFF"/>
        </w:rPr>
        <w:t>一</w:t>
      </w:r>
      <w:r>
        <w:rPr>
          <w:rFonts w:hint="eastAsia" w:ascii="仿宋_GB2312"/>
          <w:szCs w:val="32"/>
          <w:u w:val="none"/>
        </w:rPr>
        <w:t>）经办人填写报销单，并粘贴全部票及合同；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cs="Consolas"/>
          <w:kern w:val="0"/>
          <w:szCs w:val="32"/>
          <w:u w:val="none"/>
        </w:rPr>
      </w:pPr>
      <w:r>
        <w:rPr>
          <w:rFonts w:hint="eastAsia" w:ascii="仿宋_GB2312"/>
          <w:szCs w:val="32"/>
          <w:u w:val="none"/>
        </w:rPr>
        <w:t>（二）财务负责人审核；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/>
          <w:szCs w:val="32"/>
          <w:u w:val="none"/>
        </w:rPr>
      </w:pPr>
      <w:r>
        <w:rPr>
          <w:rFonts w:hint="eastAsia" w:ascii="仿宋_GB2312"/>
          <w:szCs w:val="32"/>
          <w:u w:val="none"/>
        </w:rPr>
        <w:t>（三）协会秘书长签字；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cs="Consolas"/>
          <w:kern w:val="0"/>
          <w:szCs w:val="32"/>
          <w:u w:val="none"/>
        </w:rPr>
      </w:pPr>
      <w:r>
        <w:rPr>
          <w:rFonts w:hint="eastAsia" w:ascii="仿宋_GB2312"/>
          <w:szCs w:val="32"/>
          <w:u w:val="none"/>
        </w:rPr>
        <w:t>（四）协会负责人签字。</w:t>
      </w:r>
    </w:p>
    <w:p>
      <w:pPr>
        <w:widowControl/>
        <w:spacing w:line="560" w:lineRule="exact"/>
        <w:ind w:firstLine="640"/>
        <w:jc w:val="left"/>
        <w:rPr>
          <w:rFonts w:ascii="仿宋_GB2312" w:hAnsi="仿宋" w:cs="宋体"/>
          <w:kern w:val="0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第八条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 xml:space="preserve"> 本会对重要货币资金支付业务，应当实行集体决策和审批，并建立责任追究制度，防范贪污、侵占、挪用货币资金等行为。</w:t>
      </w:r>
      <w:r>
        <w:rPr>
          <w:rFonts w:hint="eastAsia" w:ascii="仿宋_GB2312" w:cs="Calibri"/>
          <w:kern w:val="0"/>
          <w:szCs w:val="32"/>
        </w:rPr>
        <w:t> </w:t>
      </w:r>
    </w:p>
    <w:p>
      <w:pPr>
        <w:widowControl/>
        <w:spacing w:line="560" w:lineRule="exact"/>
        <w:jc w:val="center"/>
        <w:rPr>
          <w:rFonts w:ascii="仿宋_GB2312" w:cs="Calibri"/>
          <w:b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第三章 现金及银行存款管理</w:t>
      </w:r>
      <w:r>
        <w:rPr>
          <w:rFonts w:hint="eastAsia" w:ascii="仿宋_GB2312" w:cs="Calibri"/>
          <w:b/>
          <w:kern w:val="0"/>
          <w:szCs w:val="32"/>
          <w:shd w:val="clear" w:color="auto" w:fill="FFFFFF"/>
        </w:rPr>
        <w:t> 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第九条</w:t>
      </w:r>
      <w:r>
        <w:rPr>
          <w:rFonts w:hint="eastAsia" w:ascii="仿宋_GB2312" w:cs="Calibri"/>
          <w:kern w:val="0"/>
          <w:szCs w:val="32"/>
          <w:shd w:val="clear" w:color="auto" w:fill="FFFFFF"/>
        </w:rPr>
        <w:t xml:space="preserve"> 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库存现金管理：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cs="Calibri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>（一）库存现金不得超过规定限额，超过库存限额的现金应及时存入银行；</w:t>
      </w:r>
    </w:p>
    <w:p>
      <w:pPr>
        <w:widowControl/>
        <w:spacing w:line="560" w:lineRule="exact"/>
        <w:ind w:firstLine="630" w:firstLineChars="197"/>
        <w:jc w:val="left"/>
        <w:rPr>
          <w:rFonts w:ascii="仿宋_GB2312" w:hAnsi="仿宋" w:cs="宋体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</w:rPr>
        <w:t>（二）不得坐支现金，收到的现金应及时存入银行账户，严格执行现金收支</w:t>
      </w:r>
      <w:r>
        <w:rPr>
          <w:rFonts w:ascii="仿宋_GB2312" w:hAnsi="仿宋" w:cs="宋体"/>
          <w:kern w:val="0"/>
          <w:szCs w:val="32"/>
        </w:rPr>
        <w:t>“</w:t>
      </w:r>
      <w:r>
        <w:rPr>
          <w:rFonts w:hint="eastAsia" w:ascii="仿宋_GB2312" w:hAnsi="仿宋" w:cs="宋体"/>
          <w:kern w:val="0"/>
          <w:szCs w:val="32"/>
        </w:rPr>
        <w:t>两条线</w:t>
      </w:r>
      <w:r>
        <w:rPr>
          <w:rFonts w:ascii="仿宋_GB2312" w:hAnsi="仿宋" w:cs="宋体"/>
          <w:kern w:val="0"/>
          <w:szCs w:val="32"/>
        </w:rPr>
        <w:t>”</w:t>
      </w:r>
      <w:r>
        <w:rPr>
          <w:rFonts w:hint="eastAsia" w:ascii="仿宋_GB2312" w:hAnsi="仿宋" w:cs="宋体"/>
          <w:kern w:val="0"/>
          <w:szCs w:val="32"/>
        </w:rPr>
        <w:t>；</w:t>
      </w:r>
    </w:p>
    <w:p>
      <w:pPr>
        <w:widowControl/>
        <w:spacing w:line="560" w:lineRule="exact"/>
        <w:ind w:firstLine="630" w:firstLineChars="197"/>
        <w:jc w:val="left"/>
        <w:rPr>
          <w:rFonts w:ascii="仿宋_GB2312" w:hAnsi="仿宋" w:cs="宋体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</w:rPr>
        <w:t>（三）本会应认真做好现金的管理工作，日记账必须做到日清月结，并保证库存现金与账面金额相符；</w:t>
      </w:r>
    </w:p>
    <w:p>
      <w:pPr>
        <w:widowControl/>
        <w:spacing w:line="560" w:lineRule="exact"/>
        <w:ind w:firstLine="630" w:firstLineChars="197"/>
        <w:jc w:val="left"/>
        <w:rPr>
          <w:rFonts w:ascii="仿宋_GB2312" w:hAnsi="仿宋" w:cs="宋体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</w:rPr>
        <w:t>（四）出纳应定期（每月、季、年末）、不定期的对现金进行盘点，编制现金盘点表，财务负责人或会计应对现金盘点进行监盘和不定期的抽盘，确保现金账面余额与实际库存相符。如发现不符，应及时查明原因并作出处理；</w:t>
      </w:r>
    </w:p>
    <w:p>
      <w:pPr>
        <w:widowControl/>
        <w:spacing w:line="560" w:lineRule="exact"/>
        <w:ind w:firstLine="630" w:firstLineChars="197"/>
        <w:jc w:val="left"/>
        <w:rPr>
          <w:rFonts w:ascii="仿宋_GB2312" w:hAnsi="仿宋" w:cs="宋体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</w:rPr>
        <w:t>（五）</w:t>
      </w:r>
      <w:r>
        <w:rPr>
          <w:rFonts w:ascii="仿宋_GB2312" w:hAnsi="仿宋" w:cs="宋体"/>
          <w:kern w:val="0"/>
          <w:szCs w:val="32"/>
        </w:rPr>
        <w:t>不准用不符合财务制度的凭证顶替库存现金，</w:t>
      </w:r>
      <w:r>
        <w:rPr>
          <w:rFonts w:hint="eastAsia" w:ascii="仿宋_GB2312" w:hAnsi="仿宋" w:cs="宋体"/>
          <w:kern w:val="0"/>
          <w:szCs w:val="32"/>
        </w:rPr>
        <w:t>即</w:t>
      </w:r>
      <w:r>
        <w:rPr>
          <w:rFonts w:ascii="仿宋_GB2312" w:hAnsi="仿宋" w:cs="宋体"/>
          <w:kern w:val="0"/>
          <w:szCs w:val="32"/>
        </w:rPr>
        <w:t>不得“白条顶库”</w:t>
      </w:r>
      <w:r>
        <w:rPr>
          <w:rFonts w:hint="eastAsia" w:ascii="仿宋_GB2312" w:hAnsi="仿宋" w:cs="宋体"/>
          <w:kern w:val="0"/>
          <w:szCs w:val="32"/>
        </w:rPr>
        <w:t>；</w:t>
      </w:r>
    </w:p>
    <w:p>
      <w:pPr>
        <w:widowControl/>
        <w:spacing w:line="560" w:lineRule="exact"/>
        <w:ind w:firstLine="630" w:firstLineChars="197"/>
        <w:jc w:val="left"/>
        <w:rPr>
          <w:rFonts w:ascii="仿宋_GB2312" w:hAnsi="仿宋" w:cs="宋体"/>
          <w:kern w:val="0"/>
          <w:szCs w:val="32"/>
        </w:rPr>
      </w:pPr>
      <w:r>
        <w:rPr>
          <w:rFonts w:hint="eastAsia" w:ascii="仿宋_GB2312" w:hAnsi="仿宋" w:cs="宋体"/>
          <w:kern w:val="0"/>
          <w:szCs w:val="32"/>
        </w:rPr>
        <w:t>（六）</w:t>
      </w:r>
      <w:r>
        <w:rPr>
          <w:rFonts w:ascii="仿宋_GB2312" w:hAnsi="仿宋" w:cs="宋体"/>
          <w:kern w:val="0"/>
          <w:szCs w:val="32"/>
        </w:rPr>
        <w:t>不得设置“小金库”。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第十条</w:t>
      </w:r>
      <w:r>
        <w:rPr>
          <w:rFonts w:hint="eastAsia" w:ascii="仿宋_GB2312" w:hAnsi="仿宋" w:cs="宋体"/>
          <w:kern w:val="0"/>
          <w:szCs w:val="32"/>
          <w:shd w:val="clear" w:color="auto" w:fill="FFFFFF"/>
        </w:rPr>
        <w:t xml:space="preserve"> 银行存款管理内容如下：</w:t>
      </w:r>
    </w:p>
    <w:p>
      <w:pPr>
        <w:spacing w:line="560" w:lineRule="exact"/>
        <w:ind w:firstLine="640" w:firstLineChars="200"/>
        <w:rPr>
          <w:rFonts w:ascii="仿宋_GB2312" w:cs="Calibri"/>
          <w:kern w:val="0"/>
          <w:szCs w:val="32"/>
          <w:shd w:val="clear" w:color="auto" w:fill="FFFFFF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（一）本会开立基本账户用于银行收付业务。如根据业务需要，确需增开一般账户或专用账户，需由财务部提出申请报秘书长批准后方能开立。</w:t>
      </w:r>
    </w:p>
    <w:p>
      <w:pPr>
        <w:spacing w:line="560" w:lineRule="exact"/>
        <w:ind w:firstLine="640" w:firstLineChars="200"/>
        <w:rPr>
          <w:rFonts w:ascii="仿宋_GB2312" w:cs="Calibri"/>
          <w:kern w:val="0"/>
          <w:szCs w:val="32"/>
          <w:shd w:val="clear" w:color="auto" w:fill="FFFFFF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（二）本会应遵照国家相关银行账户管理的规定，不得出租、出借账户。</w:t>
      </w:r>
    </w:p>
    <w:p>
      <w:pPr>
        <w:spacing w:line="560" w:lineRule="exact"/>
        <w:ind w:firstLine="640" w:firstLineChars="200"/>
        <w:rPr>
          <w:rFonts w:ascii="仿宋_GB2312" w:cs="Calibri"/>
          <w:kern w:val="0"/>
          <w:szCs w:val="32"/>
          <w:shd w:val="clear" w:color="auto" w:fill="FFFFFF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（三）本会应认真执行《银行支付结算办法》、《票据法》等，超过结算起点金额1000元的所有对公业务，应通过银行转账进行结算。</w:t>
      </w:r>
    </w:p>
    <w:p>
      <w:pPr>
        <w:spacing w:line="560" w:lineRule="exact"/>
        <w:ind w:firstLine="640" w:firstLineChars="200"/>
        <w:rPr>
          <w:rFonts w:ascii="仿宋_GB2312" w:cs="Calibri"/>
          <w:kern w:val="0"/>
          <w:szCs w:val="32"/>
          <w:shd w:val="clear" w:color="auto" w:fill="FFFFFF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（四）收到的汇票、支票等银行收款凭单应及时送存银行，并进行账务处理。</w:t>
      </w:r>
    </w:p>
    <w:p>
      <w:pPr>
        <w:spacing w:line="560" w:lineRule="exact"/>
        <w:ind w:firstLine="640" w:firstLineChars="200"/>
        <w:rPr>
          <w:rFonts w:ascii="仿宋_GB2312" w:cs="Calibri"/>
          <w:kern w:val="0"/>
          <w:szCs w:val="32"/>
          <w:shd w:val="clear" w:color="auto" w:fill="FFFFFF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（五）支票、汇票、汇兑等付款，均须登记备查簿，详细填写单据编号、收款人名称、金额、用途、借款日期、报销日期等，并由经手人签字。</w:t>
      </w:r>
    </w:p>
    <w:p>
      <w:pPr>
        <w:spacing w:line="560" w:lineRule="exact"/>
        <w:ind w:firstLine="640" w:firstLineChars="200"/>
        <w:rPr>
          <w:rFonts w:ascii="仿宋_GB2312" w:cs="Calibri"/>
          <w:kern w:val="0"/>
          <w:szCs w:val="32"/>
          <w:shd w:val="clear" w:color="auto" w:fill="FFFFFF"/>
        </w:rPr>
      </w:pPr>
      <w:r>
        <w:rPr>
          <w:rFonts w:hint="eastAsia" w:ascii="仿宋_GB2312" w:cs="Calibri"/>
          <w:kern w:val="0"/>
          <w:szCs w:val="32"/>
          <w:shd w:val="clear" w:color="auto" w:fill="FFFFFF"/>
        </w:rPr>
        <w:t>（六）出纳定期与银行核对银行存款余额，并编制银行余额调节表，会计需对银行余额调节表进行审核，对未达账项应及时处理。</w:t>
      </w:r>
    </w:p>
    <w:p>
      <w:pPr>
        <w:spacing w:line="560" w:lineRule="exact"/>
        <w:jc w:val="center"/>
        <w:rPr>
          <w:rFonts w:ascii="仿宋_GB2312" w:cs="Calibri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Cs w:val="32"/>
          <w:shd w:val="clear" w:color="auto" w:fill="FFFFFF"/>
        </w:rPr>
        <w:t>第四章 附则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黑体" w:hAnsi="黑体" w:eastAsia="黑体" w:cs="黑体"/>
          <w:bCs/>
          <w:kern w:val="0"/>
          <w:szCs w:val="32"/>
          <w:shd w:val="clear" w:color="auto" w:fill="FFFFFF"/>
        </w:rPr>
        <w:t>第十一条</w:t>
      </w:r>
      <w:r>
        <w:rPr>
          <w:rFonts w:hint="eastAsia" w:ascii="黑体" w:hAnsi="黑体" w:eastAsia="黑体" w:cs="黑体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本制度经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000000"/>
          <w:szCs w:val="32"/>
        </w:rPr>
        <w:t>年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</w:rPr>
        <w:t>月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</w:rPr>
        <w:t>日第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color w:val="000000"/>
          <w:szCs w:val="32"/>
        </w:rPr>
        <w:t>会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议</w:t>
      </w:r>
      <w:r>
        <w:rPr>
          <w:rFonts w:hint="eastAsia" w:ascii="仿宋_GB2312" w:hAnsi="仿宋_GB2312" w:cs="仿宋_GB2312"/>
          <w:color w:val="000000"/>
          <w:szCs w:val="32"/>
        </w:rPr>
        <w:t>审议通过后生效，由秘书处负责解释</w:t>
      </w:r>
      <w:r>
        <w:rPr>
          <w:rFonts w:ascii="仿宋_GB2312"/>
          <w:color w:val="000000"/>
          <w:szCs w:val="32"/>
        </w:rPr>
        <w:t>。</w:t>
      </w:r>
      <w:bookmarkStart w:id="0" w:name="_GoBack"/>
      <w:bookmarkEnd w:id="0"/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44E6D"/>
    <w:multiLevelType w:val="singleLevel"/>
    <w:tmpl w:val="A4944E6D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ZjIwOGRlMGRjZjQ3MTUyNTc1MWVhODAzZDhlMjIifQ=="/>
  </w:docVars>
  <w:rsids>
    <w:rsidRoot w:val="32B728B2"/>
    <w:rsid w:val="004066A9"/>
    <w:rsid w:val="00447BCA"/>
    <w:rsid w:val="00611E89"/>
    <w:rsid w:val="0076738F"/>
    <w:rsid w:val="32B728B2"/>
    <w:rsid w:val="4B2B74F6"/>
    <w:rsid w:val="7E7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226</Words>
  <Characters>1291</Characters>
  <Lines>10</Lines>
  <Paragraphs>3</Paragraphs>
  <TotalTime>5</TotalTime>
  <ScaleCrop>false</ScaleCrop>
  <LinksUpToDate>false</LinksUpToDate>
  <CharactersWithSpaces>1514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2023-08-06T06:49:00Z</dcterms:created>
  <dc:creator>杨秋凤</dc:creator>
  <cp:lastModifiedBy>杨秋凤</cp:lastModifiedBy>
  <dcterms:modified xsi:type="dcterms:W3CDTF">2023-09-11T01:10:56Z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2B21FC5977C248ABB706421B8C15D4E4_13</vt:lpwstr>
  </property>
</Properties>
</file>